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3182" w14:textId="1E1ADD8A" w:rsidR="00AC7B17" w:rsidRDefault="00AC7B17" w:rsidP="0002789F">
      <w:pPr>
        <w:jc w:val="both"/>
        <w:rPr>
          <w:u w:val="single"/>
        </w:rPr>
      </w:pPr>
    </w:p>
    <w:p w14:paraId="437E8123" w14:textId="5219D181" w:rsidR="00914986" w:rsidRPr="00914986" w:rsidRDefault="00914986" w:rsidP="0002789F">
      <w:pPr>
        <w:jc w:val="both"/>
        <w:rPr>
          <w:u w:val="single"/>
        </w:rPr>
      </w:pPr>
      <w:r>
        <w:rPr>
          <w:u w:val="single"/>
        </w:rPr>
        <w:t>Okuma:</w:t>
      </w:r>
    </w:p>
    <w:p w14:paraId="74BA949F" w14:textId="2D551EA9" w:rsidR="0002789F" w:rsidRPr="00D51FEA" w:rsidRDefault="00D51FEA" w:rsidP="0002789F">
      <w:pPr>
        <w:jc w:val="both"/>
        <w:rPr>
          <w:b/>
          <w:sz w:val="28"/>
          <w:szCs w:val="28"/>
          <w:u w:val="single"/>
        </w:rPr>
      </w:pPr>
      <w:r w:rsidRPr="00D51FEA">
        <w:rPr>
          <w:b/>
          <w:sz w:val="28"/>
          <w:szCs w:val="28"/>
        </w:rPr>
        <w:t xml:space="preserve">Etnik azınlıkları öteki olarak analiz etmek </w:t>
      </w:r>
    </w:p>
    <w:p w14:paraId="6A85C3FE" w14:textId="77777777" w:rsidR="00D51FEA" w:rsidRDefault="00D51FEA" w:rsidP="0002789F">
      <w:pPr>
        <w:jc w:val="both"/>
        <w:rPr>
          <w:color w:val="808080" w:themeColor="background1" w:themeShade="80"/>
        </w:rPr>
      </w:pPr>
      <w:r w:rsidRPr="00D51FEA">
        <w:rPr>
          <w:color w:val="808080" w:themeColor="background1" w:themeShade="80"/>
        </w:rPr>
        <w:t xml:space="preserve">Bu okuma, ikili karşıtlıkların, öğrencilerin sınıfta algılanma, muamele görme ve hissetme biçimlerini etkileyerek sınıflardaki algıları ve eşitsiz güç dinamiklerini nasıl şekillendirdiğini açıklamak için etnik azınlıklar örneğini kullanır. </w:t>
      </w:r>
    </w:p>
    <w:p w14:paraId="34E48A67" w14:textId="67AFB124" w:rsidR="0002789F" w:rsidRPr="00A14C5E" w:rsidRDefault="0002789F" w:rsidP="0002789F">
      <w:pPr>
        <w:jc w:val="both"/>
        <w:rPr>
          <w:color w:val="808080" w:themeColor="background1" w:themeShade="80"/>
        </w:rPr>
      </w:pPr>
    </w:p>
    <w:p w14:paraId="75183C25" w14:textId="77777777" w:rsidR="00AC7B17" w:rsidRDefault="00AC7B17" w:rsidP="00D51FEA">
      <w:pPr>
        <w:rPr>
          <w:lang w:val="en-IE"/>
        </w:rPr>
        <w:sectPr w:rsidR="00AC7B17">
          <w:headerReference w:type="default" r:id="rId8"/>
          <w:footerReference w:type="default" r:id="rId9"/>
          <w:pgSz w:w="11906" w:h="16838"/>
          <w:pgMar w:top="1440" w:right="1800" w:bottom="1440" w:left="1800" w:header="708" w:footer="708" w:gutter="0"/>
          <w:cols w:space="708"/>
          <w:docGrid w:linePitch="360"/>
        </w:sectPr>
      </w:pPr>
    </w:p>
    <w:p w14:paraId="5C9B6D99" w14:textId="558C3D83" w:rsidR="00AC7B17" w:rsidRDefault="00AC7B17" w:rsidP="00D51FEA">
      <w:pPr>
        <w:rPr>
          <w:lang w:val="en-IE"/>
        </w:rPr>
      </w:pPr>
      <w:r w:rsidRPr="00D51FEA">
        <w:rPr>
          <w:b/>
          <w:sz w:val="28"/>
          <w:szCs w:val="28"/>
        </w:rPr>
        <w:lastRenderedPageBreak/>
        <w:t>Etnik azınlıkları öteki olarak analiz etmek</w:t>
      </w:r>
    </w:p>
    <w:p w14:paraId="4BEF006A" w14:textId="431375CF" w:rsidR="00D51FEA" w:rsidRPr="00632889" w:rsidRDefault="00D51FEA" w:rsidP="00D51FEA">
      <w:pPr>
        <w:rPr>
          <w:lang w:val="en-IE"/>
        </w:rPr>
      </w:pPr>
      <w:r>
        <w:t>Aşağıdaki mekanizmalar, etnik azınlıkları baskın gruptan temelde farklı olarak görerek marjinalleştirmeye ve dışlamaya hizmet eder:</w:t>
      </w:r>
    </w:p>
    <w:p w14:paraId="2AEFC0C5" w14:textId="7A0D301B" w:rsidR="00D51FEA" w:rsidRDefault="00D51FEA" w:rsidP="00D51FEA">
      <w:pPr>
        <w:pStyle w:val="ListeParagraf"/>
        <w:numPr>
          <w:ilvl w:val="0"/>
          <w:numId w:val="9"/>
        </w:numPr>
        <w:rPr>
          <w:b/>
          <w:lang w:val="de-DE"/>
        </w:rPr>
      </w:pPr>
      <w:proofErr w:type="spellStart"/>
      <w:r>
        <w:rPr>
          <w:b/>
        </w:rPr>
        <w:t>Kategoriler</w:t>
      </w:r>
      <w:proofErr w:type="spellEnd"/>
    </w:p>
    <w:p w14:paraId="4AC30C60" w14:textId="77777777" w:rsidR="00D51FEA" w:rsidRPr="00632889" w:rsidRDefault="00D51FEA" w:rsidP="00D51FEA">
      <w:pPr>
        <w:pStyle w:val="ListeParagraf"/>
        <w:numPr>
          <w:ilvl w:val="0"/>
          <w:numId w:val="8"/>
        </w:numPr>
        <w:spacing w:after="120"/>
        <w:ind w:left="714" w:hanging="357"/>
        <w:contextualSpacing w:val="0"/>
        <w:rPr>
          <w:lang w:val="en-IE"/>
        </w:rPr>
      </w:pPr>
      <w:r w:rsidRPr="00632889">
        <w:rPr>
          <w:u w:val="single"/>
        </w:rPr>
        <w:t>Kimliğin sosyal inşası</w:t>
      </w:r>
      <w:r w:rsidRPr="00632889">
        <w:t xml:space="preserve">: Irkçı veya etnik etiketler, örneğin insanları algılanan etnik veya kültürel farklılıklar temelinde kategorize eden sosyal olarak oluşturulmuş terimlerdir. Bu terimler tarafsız değildir; İnsanların nasıl algılandığını ve onlara nasıl davranıldığını etkileyen çağrışımlar ve tarihsel bagajlarla lekelenirler. Örneğin, "yabancı", "göçmen" gibi terimler veya ırkçı ifadeler, nesiller boyu bir ülkede yaşamış olsalar bile, kökenleri, kültürleri veya etnik kökenleri nedeniyle belirli grupları ve bireyleri yabancı olarak etiketlemek için sıklıkla kullanılır. </w:t>
      </w:r>
    </w:p>
    <w:p w14:paraId="37BE8B4D" w14:textId="77777777" w:rsidR="00D51FEA" w:rsidRPr="00632889" w:rsidRDefault="00D51FEA" w:rsidP="00D51FEA">
      <w:pPr>
        <w:pStyle w:val="ListeParagraf"/>
        <w:numPr>
          <w:ilvl w:val="0"/>
          <w:numId w:val="8"/>
        </w:numPr>
        <w:spacing w:after="120"/>
        <w:ind w:left="714" w:hanging="357"/>
        <w:contextualSpacing w:val="0"/>
        <w:rPr>
          <w:lang w:val="en-IE"/>
        </w:rPr>
      </w:pPr>
      <w:r w:rsidRPr="00632889">
        <w:rPr>
          <w:u w:val="single"/>
        </w:rPr>
        <w:t>Sınırların güçlendirilmesi</w:t>
      </w:r>
      <w:r w:rsidRPr="00632889">
        <w:t>: Bu tür bir etiketleme, baskın grup ile etnik olarak değersizleştirilmiş gruplar arasındaki sınırları güçlendirir ve "biz" ile "onlar" arasında net bir sınır oluşturur. Bu sınır, kimin "baskın topluma" ait olduğunu ve kimin olmadığını tanımlayarak sosyal hiyerarşinin korunmasına yardımcı olur. Örneğin, milliyetçi ve sağcı söylemlerde, belirli grupların değersizleştirilmesi, beyaz, Hıristiyan ve ataerkil olarak tahayyül edilen bir "halk kimliğinin" "(yeniden) canlandırılmasını" meşrulaştırır. Bu şekilde, bu etiketli gruplar, topluma katkılarından veya entegrasyon veya dahil olma arzularından bağımsız olarak kalıcı yabancılar olarak görülür.</w:t>
      </w:r>
    </w:p>
    <w:p w14:paraId="23F2ED4E" w14:textId="77777777" w:rsidR="00D51FEA" w:rsidRPr="00632889" w:rsidRDefault="00D51FEA" w:rsidP="00D51FEA">
      <w:pPr>
        <w:pStyle w:val="ListeParagraf"/>
        <w:numPr>
          <w:ilvl w:val="0"/>
          <w:numId w:val="8"/>
        </w:numPr>
        <w:spacing w:after="120"/>
        <w:ind w:left="714" w:hanging="357"/>
        <w:contextualSpacing w:val="0"/>
        <w:rPr>
          <w:lang w:val="en-IE"/>
        </w:rPr>
      </w:pPr>
      <w:r w:rsidRPr="00632889">
        <w:rPr>
          <w:u w:val="single"/>
        </w:rPr>
        <w:t>İnsanlıktan çıkarma</w:t>
      </w:r>
      <w:r w:rsidRPr="00632889">
        <w:t>: Etiketleme, insanları tek, genellikle olumsuz bir özelliğe indirgeyerek etnik azınlıkların insanlıktan çıkarılmasına da katkıda bulunabilir. Bu indirgemecilik, insanları bireyselliklerinden ve karmaşık kimliklerinden mahrum bırakır ve ayrımcı muameleyi haklı çıkarmayı kolaylaştırır. Örneğin, belirli bir etnik, dini veya kültürel gruptan tüm insanları 'tehlikeli', 'medeniyetsiz' veya 'aşağı' olarak etiketlemek, insanlıklarını değersizleştirir ve onları istismara karşı daha savunmasız hale getirir.</w:t>
      </w:r>
    </w:p>
    <w:p w14:paraId="39868521" w14:textId="3399C90D" w:rsidR="00D51FEA" w:rsidRDefault="00D51FEA" w:rsidP="00D51FEA">
      <w:pPr>
        <w:pStyle w:val="ListeParagraf"/>
        <w:numPr>
          <w:ilvl w:val="0"/>
          <w:numId w:val="9"/>
        </w:numPr>
        <w:rPr>
          <w:b/>
          <w:lang w:val="de-DE"/>
        </w:rPr>
      </w:pPr>
      <w:r>
        <w:rPr>
          <w:b/>
        </w:rPr>
        <w:t>Stereotip</w:t>
      </w:r>
    </w:p>
    <w:p w14:paraId="78AE1AE0" w14:textId="77777777" w:rsidR="00D51FEA" w:rsidRPr="00632889" w:rsidRDefault="00D51FEA" w:rsidP="00D51FEA">
      <w:pPr>
        <w:pStyle w:val="ListeParagraf"/>
        <w:numPr>
          <w:ilvl w:val="0"/>
          <w:numId w:val="8"/>
        </w:numPr>
        <w:spacing w:after="120"/>
        <w:ind w:left="714" w:hanging="357"/>
        <w:contextualSpacing w:val="0"/>
        <w:rPr>
          <w:lang w:val="en-IE"/>
        </w:rPr>
      </w:pPr>
      <w:r w:rsidRPr="00632889">
        <w:rPr>
          <w:u w:val="single"/>
        </w:rPr>
        <w:t>Basitleştirme ve genelleştirme</w:t>
      </w:r>
      <w:r w:rsidRPr="00632889">
        <w:t>: Stereotipler, bir grup insan hakkında oldukça basitleştirilmiş ve genelleştirilmiş fikirlerdir. Genellikle grubun kültürü, davranışı veya özellikleri hakkında sınırlı bir anlayışa dayanırlar. Etnik azınlıklarla ilgili klişeler, onların "tembel", "zeki olmayan" veya "şiddetli" oldukları fikrini içerebilir. Bu stereotipler sadece yanlış değil, aynı zamanda zararlıdır, çünkü baskın grubun etnik kökenleri, dinleri, kültürleri veya ten renkleri nedeniyle değersizleştirilen gruplara yönelik beklentilerini ve davranışlarını şekillendirirler.</w:t>
      </w:r>
    </w:p>
    <w:p w14:paraId="4A4A060D" w14:textId="77777777" w:rsidR="00D51FEA" w:rsidRPr="00632889" w:rsidRDefault="00D51FEA" w:rsidP="00D51FEA">
      <w:pPr>
        <w:pStyle w:val="ListeParagraf"/>
        <w:numPr>
          <w:ilvl w:val="0"/>
          <w:numId w:val="8"/>
        </w:numPr>
        <w:spacing w:after="120"/>
        <w:ind w:left="714" w:hanging="357"/>
        <w:contextualSpacing w:val="0"/>
        <w:rPr>
          <w:lang w:val="en-IE"/>
        </w:rPr>
      </w:pPr>
      <w:r w:rsidRPr="00632889">
        <w:rPr>
          <w:u w:val="single"/>
        </w:rPr>
        <w:t>Eşitsizlik döngüsünü sürdürmek</w:t>
      </w:r>
      <w:r w:rsidRPr="00632889">
        <w:t>: Stereotipler, azınlıkların bir şekilde daha düşük statülerini hak ettiklerine dair bir anlatı yaratarak azınlıklara yönelik eşitsiz muameleyi haklı çıkarmaya hizmet eder. Örneğin, bazı etnik grupların doğası gereği daha az yetenekli olduğu klişesi, istihdam, eğitim ve diğer yaşam alanlarında ayrımcılığı haklı çıkarmak için kullanılabilir. Bu, stereotipin ayrımcılığa yol açtığı ve bu da stereotipi güçlendirdiği bir eşitsizlik döngüsünü sürdürür.</w:t>
      </w:r>
    </w:p>
    <w:p w14:paraId="14D6F22C" w14:textId="77777777" w:rsidR="00D51FEA" w:rsidRPr="00632889" w:rsidRDefault="00D51FEA" w:rsidP="00D51FEA">
      <w:pPr>
        <w:pStyle w:val="Altyaz"/>
        <w:numPr>
          <w:ilvl w:val="0"/>
          <w:numId w:val="8"/>
        </w:numPr>
        <w:spacing w:after="120"/>
        <w:ind w:left="714" w:hanging="357"/>
        <w:rPr>
          <w:rFonts w:eastAsiaTheme="minorHAnsi"/>
          <w:color w:val="auto"/>
          <w:spacing w:val="0"/>
          <w:lang w:val="en-IE"/>
        </w:rPr>
      </w:pPr>
      <w:r w:rsidRPr="00632889">
        <w:rPr>
          <w:rFonts w:eastAsiaTheme="minorHAnsi"/>
          <w:color w:val="auto"/>
          <w:spacing w:val="0"/>
          <w:u w:val="single"/>
        </w:rPr>
        <w:t>Benlik algısı üzerindeki etki</w:t>
      </w:r>
      <w:r w:rsidRPr="00632889">
        <w:rPr>
          <w:rFonts w:eastAsiaTheme="minorHAnsi"/>
          <w:color w:val="auto"/>
          <w:spacing w:val="0"/>
        </w:rPr>
        <w:t xml:space="preserve">: Stereotipler, sosyal azınlıkların benlik algısını da etkileyebilir. İnsanlar sürekli olarak olumsuz klişelerle karşı karşıya kaldıklarında, bu inançları içselleştirebilirler ve bu da grupları hakkındaki olumsuz klişeleri </w:t>
      </w:r>
      <w:r w:rsidRPr="00632889">
        <w:rPr>
          <w:rFonts w:eastAsiaTheme="minorHAnsi"/>
          <w:color w:val="auto"/>
          <w:spacing w:val="0"/>
        </w:rPr>
        <w:lastRenderedPageBreak/>
        <w:t>doğrulamaktan korktukları 'stereotip tehdidi' olarak bilinen bir fenomene yol açabilir. Bu, benlik saygısının azalmasına, daha düşük hırslara ve hatta çeşitli alanlarda daha düşük performansa yol açabilir.</w:t>
      </w:r>
    </w:p>
    <w:p w14:paraId="15154679" w14:textId="0F4A1498" w:rsidR="00D51FEA" w:rsidRDefault="00D51FEA" w:rsidP="00D51FEA">
      <w:pPr>
        <w:pStyle w:val="ListeParagraf"/>
        <w:numPr>
          <w:ilvl w:val="0"/>
          <w:numId w:val="9"/>
        </w:numPr>
        <w:rPr>
          <w:b/>
          <w:lang w:val="de-DE"/>
        </w:rPr>
      </w:pPr>
      <w:proofErr w:type="spellStart"/>
      <w:r>
        <w:rPr>
          <w:b/>
        </w:rPr>
        <w:t>Önyargı</w:t>
      </w:r>
      <w:proofErr w:type="spellEnd"/>
    </w:p>
    <w:p w14:paraId="6C3D442E" w14:textId="77777777" w:rsidR="00D51FEA" w:rsidRPr="00632889" w:rsidRDefault="00D51FEA" w:rsidP="00D51FEA">
      <w:pPr>
        <w:pStyle w:val="Altyaz"/>
        <w:numPr>
          <w:ilvl w:val="0"/>
          <w:numId w:val="8"/>
        </w:numPr>
        <w:rPr>
          <w:rFonts w:eastAsiaTheme="minorHAnsi"/>
          <w:color w:val="auto"/>
          <w:spacing w:val="0"/>
          <w:lang w:val="en-IE"/>
        </w:rPr>
      </w:pPr>
      <w:r w:rsidRPr="00632889">
        <w:rPr>
          <w:rFonts w:eastAsiaTheme="minorHAnsi"/>
          <w:color w:val="auto"/>
          <w:spacing w:val="0"/>
          <w:u w:val="single"/>
        </w:rPr>
        <w:t>Önyargılı yargılar</w:t>
      </w:r>
      <w:r w:rsidRPr="00632889">
        <w:rPr>
          <w:rFonts w:eastAsiaTheme="minorHAnsi"/>
          <w:color w:val="auto"/>
          <w:spacing w:val="0"/>
        </w:rPr>
        <w:t>: Önyargılar, bir gruba karşı etnik kökenlerine, kültürlerine, dinlerine, ten renklerine veya cinsiyetlerine dayalı olarak önyargılı yargılar veya tutumlardır. Genelleştirilmiş inançlar olan klişelerin aksine, önyargı daha çok bir gruba karşı - genellikle olumsuz - duygusal tepkiyle ilgilidir. Önyargı, azınlıklara karşı düşmanlığa, korkuya veya güvensizliğe yol açabilir ve "öteki" fikrini daha da güçlendirebilir.</w:t>
      </w:r>
    </w:p>
    <w:p w14:paraId="056D89B5" w14:textId="77777777" w:rsidR="00D51FEA" w:rsidRPr="00632889" w:rsidRDefault="00D51FEA" w:rsidP="00D51FEA">
      <w:pPr>
        <w:pStyle w:val="Altyaz"/>
        <w:numPr>
          <w:ilvl w:val="0"/>
          <w:numId w:val="8"/>
        </w:numPr>
        <w:rPr>
          <w:rFonts w:eastAsiaTheme="minorHAnsi"/>
          <w:color w:val="auto"/>
          <w:spacing w:val="0"/>
          <w:lang w:val="en-IE"/>
        </w:rPr>
      </w:pPr>
      <w:r w:rsidRPr="00632889">
        <w:rPr>
          <w:rFonts w:eastAsiaTheme="minorHAnsi"/>
          <w:color w:val="auto"/>
          <w:spacing w:val="0"/>
          <w:u w:val="single"/>
        </w:rPr>
        <w:t>Önyargının kurumsallaşması</w:t>
      </w:r>
      <w:r w:rsidRPr="00632889">
        <w:rPr>
          <w:rFonts w:eastAsiaTheme="minorHAnsi"/>
          <w:color w:val="auto"/>
          <w:spacing w:val="0"/>
        </w:rPr>
        <w:t>: Önyargı, hukuk sistemi, eğitim sistemi ve medya gibi sosyal kurumlara yerleştirildiğinde, sistematik ayrımcılığa katkıda bulunur. Örneğin, kolluk kuvvetleri tarafından ırksal profilleme, ırksallaştırılmış azınlıkların suç teşkil eden davranışlarda bulunma olasılığının daha yüksek olduğunu varsayan bir önyargı ifadesidir. Önyargının bu şekilde kurumsallaşması sadece bu grupların yaşamlarını etkilemekle kalmaz, aynı zamanda onlara ilişkin daha geniş toplumsal algıyı da güçlendirir.</w:t>
      </w:r>
    </w:p>
    <w:p w14:paraId="564894EF" w14:textId="77777777" w:rsidR="00D51FEA" w:rsidRPr="00632889" w:rsidRDefault="00D51FEA" w:rsidP="00D51FEA">
      <w:pPr>
        <w:pStyle w:val="Altyaz"/>
        <w:numPr>
          <w:ilvl w:val="0"/>
          <w:numId w:val="8"/>
        </w:numPr>
        <w:rPr>
          <w:rFonts w:eastAsiaTheme="minorHAnsi"/>
          <w:color w:val="auto"/>
          <w:spacing w:val="0"/>
          <w:lang w:val="en-IE"/>
        </w:rPr>
      </w:pPr>
      <w:r w:rsidRPr="00632889">
        <w:rPr>
          <w:rFonts w:eastAsiaTheme="minorHAnsi"/>
          <w:color w:val="auto"/>
          <w:spacing w:val="0"/>
          <w:u w:val="single"/>
        </w:rPr>
        <w:t>Sosyal ve psikolojik etki</w:t>
      </w:r>
      <w:r w:rsidRPr="00632889">
        <w:rPr>
          <w:rFonts w:eastAsiaTheme="minorHAnsi"/>
          <w:color w:val="auto"/>
          <w:spacing w:val="0"/>
        </w:rPr>
        <w:t>: Önyargının hedefi olma deneyimi, değersizleştirilmiş grupların üyeleri için ciddi sosyal ve psikolojik sonuçlar doğurabilir. Sosyal izolasyona, anksiyete ve depresyon gibi ruh sağlığı sorunlarına ve toplumdan yabancılaşma duygusuna yol açabilir. Zamanla, bu etkiler yoğunlaşabilir ve yaşamın çeşitli alanlarında uzun vadeli dezavantajlara yol açabilir.</w:t>
      </w:r>
    </w:p>
    <w:p w14:paraId="398666CC" w14:textId="77777777" w:rsidR="00D51FEA" w:rsidRPr="00632889" w:rsidRDefault="00D51FEA" w:rsidP="00D51FEA">
      <w:pPr>
        <w:rPr>
          <w:lang w:val="en-IE"/>
        </w:rPr>
      </w:pPr>
      <w:r w:rsidRPr="00632889">
        <w:t>Burada açıklanan bu dinamiklere meydan okumak ve onları ortadan kaldırmak için, etiketlerin, klişelerin ve önyargıların inşa edilmiş doğasını tanımak, insanların ırk, etnik köken, köken veya cinsiyete dayalı basit kategorizasyonlarını reddetmek ve bunlarla hem bireysel hem de kurumsal düzeyde mücadele etmek çok önemlidir.</w:t>
      </w:r>
    </w:p>
    <w:p w14:paraId="74226F02" w14:textId="79F866ED" w:rsidR="00D51FEA" w:rsidRPr="007E74C0" w:rsidRDefault="00D51FEA" w:rsidP="00D51FEA">
      <w:pPr>
        <w:rPr>
          <w:lang w:val="en-IE"/>
        </w:rPr>
      </w:pPr>
      <w:r w:rsidRPr="007E74C0">
        <w:t>Öğretmenler için etiketlemeyi, stereotiplemeyi ve önyargıyı anlamak, kapsayıcı ve destekleyici bir sınıf ortamı yaratmak için çok önemlidir. Aşağıdaki hususların ele alınması önemlidir:</w:t>
      </w:r>
    </w:p>
    <w:p w14:paraId="680983D4" w14:textId="77777777" w:rsidR="00D51FEA" w:rsidRPr="007E74C0" w:rsidRDefault="00D51FEA" w:rsidP="00D51FEA">
      <w:pPr>
        <w:pStyle w:val="ListeParagraf"/>
        <w:numPr>
          <w:ilvl w:val="0"/>
          <w:numId w:val="7"/>
        </w:numPr>
        <w:rPr>
          <w:lang w:val="en-IE"/>
        </w:rPr>
      </w:pPr>
      <w:r w:rsidRPr="00E128CB">
        <w:rPr>
          <w:u w:val="single"/>
        </w:rPr>
        <w:t>Stereotipler ve önyargılar hakkında farkındalık yaratmak:</w:t>
      </w:r>
      <w:r w:rsidRPr="007E74C0">
        <w:t xml:space="preserve"> "Biz" ve "onlar" arasına sınırlar koymak veya çizgiler çizmek, stereotiplerin ve önyargıların oluşmasına yol açabilir. Bu tutumlar sınıfta, hem öğrencilerde hem de bilinçsizce öğretmenlerin kendisinde kendini gösterebilir. Örneğin, belirli bir etnik grubun öğrencileri sürekli olarak farklı veya "öteki" olarak muamele görür veya algılanırsa, bu olumsuz klişeleri güçlendirebilir ve onların değersizleştirilmesine ve reddedilmesine yol açabilir.</w:t>
      </w:r>
    </w:p>
    <w:p w14:paraId="50134FA1" w14:textId="77777777" w:rsidR="00D51FEA" w:rsidRDefault="00D51FEA" w:rsidP="00D51FEA">
      <w:pPr>
        <w:pStyle w:val="ListeParagraf"/>
        <w:numPr>
          <w:ilvl w:val="0"/>
          <w:numId w:val="7"/>
        </w:numPr>
        <w:rPr>
          <w:lang w:val="en-IE"/>
        </w:rPr>
      </w:pPr>
      <w:r w:rsidRPr="00E128CB">
        <w:rPr>
          <w:u w:val="single"/>
        </w:rPr>
        <w:t>Sebepleri anlamak:</w:t>
      </w:r>
      <w:r w:rsidRPr="007E74C0">
        <w:t xml:space="preserve"> Stereotipleme ve önyargılı tutumlar genellikle, bireylerin veya grupların kendi kimlik duygularını geri kazanmak veya sosyal içermeyi sağlamak için başkalarını değersizleştirdiği güvensizlik veya zarar görmüş benlik imajı gibi altta yatan sorunlardan kaynaklanır. Örneğin, marjinalleşmiş hisseden veya özgüven eksikliği olan öğrenciler, kendilerini daha iyi hissetmek veya bir gruba uyum sağlamak için bilinçsizce başkalarını değersizleştirebilirler.</w:t>
      </w:r>
    </w:p>
    <w:p w14:paraId="0FE2B7BF" w14:textId="77777777" w:rsidR="00D51FEA" w:rsidRPr="007E74C0" w:rsidRDefault="00D51FEA" w:rsidP="00D51FEA">
      <w:pPr>
        <w:pStyle w:val="ListeParagraf"/>
        <w:numPr>
          <w:ilvl w:val="0"/>
          <w:numId w:val="7"/>
        </w:numPr>
        <w:rPr>
          <w:lang w:val="en-IE"/>
        </w:rPr>
      </w:pPr>
      <w:r w:rsidRPr="00E128CB">
        <w:rPr>
          <w:u w:val="single"/>
        </w:rPr>
        <w:t>Sosyalleşme ve politik söylemin etkisi:</w:t>
      </w:r>
      <w:r w:rsidRPr="007E74C0">
        <w:t xml:space="preserve"> Öğretmenler, öğrencilerin tutumlarının sosyalleşmeleri, sosyoekonomik durumları ve sınıf dışında maruz kaldıkları politik </w:t>
      </w:r>
      <w:r w:rsidRPr="007E74C0">
        <w:lastRenderedPageBreak/>
        <w:t>söylem tarafından nasıl şekillendirildiğini düşünmelidir. Örneğin, kültürel ırkçılık ve İslamofobi, medyada veya siyasi tartışmalarda yaygın olabilir ve bu da öğrencilerin farklı geçmişlere sahip akranlarını nasıl algıladıklarını ve onlarla nasıl etkileşime girdiklerini etkileyebilir.</w:t>
      </w:r>
    </w:p>
    <w:p w14:paraId="07AFCF37" w14:textId="77777777" w:rsidR="00D51FEA" w:rsidRDefault="00D51FEA" w:rsidP="00D51FEA">
      <w:pPr>
        <w:pStyle w:val="ListeParagraf"/>
        <w:numPr>
          <w:ilvl w:val="0"/>
          <w:numId w:val="7"/>
        </w:numPr>
        <w:rPr>
          <w:lang w:val="en-IE"/>
        </w:rPr>
      </w:pPr>
      <w:r w:rsidRPr="00E128CB">
        <w:rPr>
          <w:u w:val="single"/>
        </w:rPr>
        <w:t>Sınıfta ayrımcı tutumları ele almak:</w:t>
      </w:r>
      <w:r w:rsidRPr="007E74C0">
        <w:t xml:space="preserve"> Sınıfta ayrımcı tutumları aktif olarak ele almak ve bunlara karşı koymak için, öğrencilerin önyargının kökenlerini ve bireyler üzerindeki etkisini keşfetmeleri, durumlara farklı açılardan bakmaları, stereotipler hakkında eleştirel düşünmeyi teşvik etmeleri ve empatiyi teşvik etmeleri için fırsatlar yaratılabilir.</w:t>
      </w:r>
    </w:p>
    <w:p w14:paraId="7EAD26A0" w14:textId="77777777" w:rsidR="00D51FEA" w:rsidRPr="007E74C0" w:rsidRDefault="00D51FEA" w:rsidP="00D51FEA">
      <w:pPr>
        <w:pStyle w:val="ListeParagraf"/>
        <w:numPr>
          <w:ilvl w:val="0"/>
          <w:numId w:val="7"/>
        </w:numPr>
        <w:rPr>
          <w:lang w:val="en-IE"/>
        </w:rPr>
      </w:pPr>
      <w:r w:rsidRPr="00E128CB">
        <w:rPr>
          <w:u w:val="single"/>
        </w:rPr>
        <w:t xml:space="preserve">Kapsayıcılığı ve saygıyı teşvik etmek: </w:t>
      </w:r>
      <w:r w:rsidRPr="007E74C0">
        <w:t>Özellikle sosyal azınlıkların varlığının arka planında, çeşitliliğin değerini ve okuldaki her bireyin benzersiz kimliğini tanımanın önemini iletmek mantıklıdır. Öğretmenler, tüm öğrencilerin tanındığını ve değer verildiğini hissettiği kapsayıcı bir ortamı teşvik ederek, ayrımcılığın olumsuz etkilerine karşı koyabilir ve aidiyet duygusunu teşvik edebilir. Bu sadece açık ayrımcılıkla ilgili değil, aynı zamanda kültürel veya etnik farklılıklardan kaynaklanabilecek ince dışlama biçimleriyle mücadele etmekle de ilgilidir.</w:t>
      </w:r>
    </w:p>
    <w:p w14:paraId="50A3ABD5" w14:textId="230BFDF8" w:rsidR="002C2711" w:rsidRDefault="002C2711">
      <w:pPr>
        <w:rPr>
          <w:b/>
          <w:sz w:val="24"/>
          <w:szCs w:val="24"/>
        </w:rPr>
      </w:pPr>
    </w:p>
    <w:sectPr w:rsidR="002C271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B340" w14:textId="77777777" w:rsidR="00074FC7" w:rsidRDefault="00074FC7" w:rsidP="0029616F">
      <w:pPr>
        <w:spacing w:after="0" w:line="240" w:lineRule="auto"/>
      </w:pPr>
      <w:r>
        <w:separator/>
      </w:r>
    </w:p>
  </w:endnote>
  <w:endnote w:type="continuationSeparator" w:id="0">
    <w:p w14:paraId="723A61B7" w14:textId="77777777" w:rsidR="00074FC7" w:rsidRDefault="00074FC7" w:rsidP="0029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1150"/>
      <w:docPartObj>
        <w:docPartGallery w:val="Page Numbers (Bottom of Page)"/>
        <w:docPartUnique/>
      </w:docPartObj>
    </w:sdtPr>
    <w:sdtContent>
      <w:p w14:paraId="4B66C701" w14:textId="3F4FA119" w:rsidR="00F45C3A" w:rsidRDefault="00AC7B17">
        <w:pPr>
          <w:pStyle w:val="AltBilgi"/>
          <w:jc w:val="right"/>
        </w:pPr>
        <w:r w:rsidRPr="00AC7B17">
          <w:rPr>
            <w:noProof/>
          </w:rPr>
          <w:drawing>
            <wp:anchor distT="0" distB="0" distL="114300" distR="114300" simplePos="0" relativeHeight="251666432" behindDoc="0" locked="0" layoutInCell="1" allowOverlap="1" wp14:anchorId="2A8B72C8" wp14:editId="67A549A2">
              <wp:simplePos x="0" y="0"/>
              <wp:positionH relativeFrom="margin">
                <wp:posOffset>-466725</wp:posOffset>
              </wp:positionH>
              <wp:positionV relativeFrom="paragraph">
                <wp:posOffset>74930</wp:posOffset>
              </wp:positionV>
              <wp:extent cx="1808480" cy="377825"/>
              <wp:effectExtent l="0" t="0" r="0" b="3175"/>
              <wp:wrapNone/>
              <wp:docPr id="33" name="Image 8" descr="Metin içeren bir resim&#10;&#10;Otomatik oluşturulan açıklama">
                <a:extLst xmlns:a="http://schemas.openxmlformats.org/drawingml/2006/main">
                  <a:ext uri="{FF2B5EF4-FFF2-40B4-BE49-F238E27FC236}">
                    <a16:creationId xmlns:a16="http://schemas.microsoft.com/office/drawing/2014/main" id="{41E23DDD-DFD6-82E6-258A-BB76FBDD7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10;&#10;Description générée automatiquement">
                        <a:extLst>
                          <a:ext uri="{FF2B5EF4-FFF2-40B4-BE49-F238E27FC236}">
                            <a16:creationId xmlns:a16="http://schemas.microsoft.com/office/drawing/2014/main" id="{41E23DDD-DFD6-82E6-258A-BB76FBDD7DA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480" cy="377825"/>
                      </a:xfrm>
                      <a:prstGeom prst="rect">
                        <a:avLst/>
                      </a:prstGeom>
                    </pic:spPr>
                  </pic:pic>
                </a:graphicData>
              </a:graphic>
              <wp14:sizeRelH relativeFrom="margin">
                <wp14:pctWidth>0</wp14:pctWidth>
              </wp14:sizeRelH>
              <wp14:sizeRelV relativeFrom="margin">
                <wp14:pctHeight>0</wp14:pctHeight>
              </wp14:sizeRelV>
            </wp:anchor>
          </w:drawing>
        </w:r>
        <w:r w:rsidRPr="00AC7B17">
          <w:rPr>
            <w:noProof/>
          </w:rPr>
          <mc:AlternateContent>
            <mc:Choice Requires="wps">
              <w:drawing>
                <wp:anchor distT="45720" distB="45720" distL="114300" distR="114300" simplePos="0" relativeHeight="251665408" behindDoc="0" locked="0" layoutInCell="1" allowOverlap="1" wp14:anchorId="6A9F10D3" wp14:editId="6A6F7253">
                  <wp:simplePos x="0" y="0"/>
                  <wp:positionH relativeFrom="margin">
                    <wp:posOffset>1490980</wp:posOffset>
                  </wp:positionH>
                  <wp:positionV relativeFrom="paragraph">
                    <wp:posOffset>44450</wp:posOffset>
                  </wp:positionV>
                  <wp:extent cx="4219575" cy="4171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17195"/>
                          </a:xfrm>
                          <a:prstGeom prst="rect">
                            <a:avLst/>
                          </a:prstGeom>
                          <a:solidFill>
                            <a:srgbClr val="FFFFFF"/>
                          </a:solidFill>
                          <a:ln w="9525">
                            <a:solidFill>
                              <a:schemeClr val="bg1"/>
                            </a:solidFill>
                            <a:miter lim="800000"/>
                            <a:headEnd/>
                            <a:tailEnd/>
                          </a:ln>
                        </wps:spPr>
                        <wps:txbx>
                          <w:txbxContent>
                            <w:p w14:paraId="149AEA17" w14:textId="77777777" w:rsidR="00AC7B17" w:rsidRPr="0029616F" w:rsidRDefault="00AC7B17" w:rsidP="00AC7B17">
                              <w:pPr>
                                <w:jc w:val="both"/>
                                <w:rPr>
                                  <w:color w:val="002060"/>
                                  <w:sz w:val="14"/>
                                  <w:szCs w:val="12"/>
                                  <w:lang w:val="en-US"/>
                                </w:rPr>
                              </w:pPr>
                              <w:r w:rsidRPr="0029616F">
                                <w:rPr>
                                  <w:color w:val="002060"/>
                                  <w:sz w:val="14"/>
                                  <w:szCs w:val="12"/>
                                </w:rPr>
                                <w:t>Avrupa Birliği tarafından ortaklaşa finanse edilmektedir. Bununla birlikte, ifade edilen görüş ve düşünceler yalnızca yazar(lar)a aittir ve Avrupa Birliği veya Avrupa Eğitim ve Kültür Yürütme Ajansı'nın (EACEA) görüşlerini yansıtmayabilir. Bunlardan ne Avrupa Birliği ne de izin veren makam sorumlu tutulamaz.</w:t>
                              </w:r>
                            </w:p>
                            <w:p w14:paraId="1613242A" w14:textId="77777777" w:rsidR="00AC7B17" w:rsidRPr="0029616F" w:rsidRDefault="00AC7B17" w:rsidP="00AC7B17">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type id="_x0000_t202" coordsize="21600,21600" o:spt="202" path="m,l,21600r21600,l21600,xe" w14:anchorId="6A9F10D3">
                  <v:stroke joinstyle="miter"/>
                  <v:path gradientshapeok="t" o:connecttype="rect"/>
                </v:shapetype>
                <v:shape id="Text Box 2" style="position:absolute;left:0;text-align:left;margin-left:117.4pt;margin-top:3.5pt;width:332.25pt;height:32.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VfKQIAAEoEAAAOAAAAZHJzL2Uyb0RvYy54bWysVMFu2zAMvQ/YPwi6L46NZFmMOkWXLsOA&#10;rhvQ7gNkWbaFSaImKbGzrx8lp2na3Yb5IJAi9Ug+kr66HrUiB+G8BFPRfDanRBgOjTRdRX887t59&#10;oMQHZhqmwIiKHoWn15u3b64GW4oCelCNcARBjC8HW9E+BFtmmee90MzPwAqDxhacZgFV12WNYwOi&#10;a5UV8/n7bADXWAdceI+3t5ORbhJ+2woevrWtF4GoimJuIZ0unXU8s80VKzvHbC/5KQ32D1loJg0G&#10;PUPdssDI3sm/oLTkDjy0YcZBZ9C2kotUA1aTz19V89AzK1ItSI63Z5r8/4Pl94fvjsimotgowzS2&#10;6FGMgXyEkRSRncH6Ep0eLLqFEa+xy6lSb++A//TEwLZnphM3zsHQC9Zgdnl8mV08nXB8BKmHr9Bg&#10;GLYPkIDG1ulIHZJBEB27dDx3JqbC8XJR5OvlakkJR9siX6GWQrDy6bV1PnwWoEkUKuqw8wmdHe58&#10;iNmw8sklBvOgZLOTSiXFdfVWOXJgOCW79J3QX7gpQ4aKrpfFciLgBUQcWHEGqbuJgleBtAw47Upq&#10;pHsevxiGlZG1T6ZJcmBSTTJmrMyJxsjcxGEY6zH1KwWIFNfQHJFXB9Nw4zKi0IP7TcmAg11R/2vP&#10;nKBEfTHYm3W+WMRNSMpiuSpQcZeW+tLCDEeoigZKJnEb0vbEtA3cYA9bmeh9zuSUMg5sYv20XHEj&#10;LvXk9fwL2PwBAAD//wMAUEsDBBQABgAIAAAAIQDGO34h3gAAAAgBAAAPAAAAZHJzL2Rvd25yZXYu&#10;eG1sTI9BT8JAFITvJvyHzSPxJlsLAVq7JUYjN2MsBDxuu8+2sfu26S5Q/fU+T3KczGTmm2wz2k6c&#10;cfCtIwX3swgEUuVMS7WC/e7lbg3CB01Gd45QwTd62OSTm0ynxl3oHc9FqAWXkE+1giaEPpXSVw1a&#10;7WeuR2Lv0w1WB5ZDLc2gL1xuOxlH0VJa3RIvNLrHpwarr+JkFfgqWh7eFsXhWMot/iTGPH9sX5W6&#10;nY6PDyACjuE/DH/4jA45M5XuRMaLTkE8XzB6ULDiS+yvk2QOomQdr0Dmmbw+kP8CAAD//wMAUEsB&#10;Ai0AFAAGAAgAAAAhALaDOJL+AAAA4QEAABMAAAAAAAAAAAAAAAAAAAAAAFtDb250ZW50X1R5cGVz&#10;XS54bWxQSwECLQAUAAYACAAAACEAOP0h/9YAAACUAQAACwAAAAAAAAAAAAAAAAAvAQAAX3JlbHMv&#10;LnJlbHNQSwECLQAUAAYACAAAACEAoXhlXykCAABKBAAADgAAAAAAAAAAAAAAAAAuAgAAZHJzL2Uy&#10;b0RvYy54bWxQSwECLQAUAAYACAAAACEAxjt+Id4AAAAIAQAADwAAAAAAAAAAAAAAAACDBAAAZHJz&#10;L2Rvd25yZXYueG1sUEsFBgAAAAAEAAQA8wAAAI4FAAAAAA==&#10;">
                  <v:textbox>
                    <w:txbxContent>
                      <w:p w:rsidRPr="0029616F" w:rsidR="00AC7B17" w:rsidP="00AC7B17" w:rsidRDefault="00AC7B17" w14:paraId="149AEA17" w14:textId="77777777">
                        <w:pPr>
                          <w:jc w:val="both"/>
                          <w:rPr>
                            <w:color w:val="002060"/>
                            <w:sz w:val="14"/>
                            <w:szCs w:val="12"/>
                            <w:lang w:val="en-US"/>
                          </w:rPr>
                        </w:pPr>
                        <w:r w:rsidRPr="0029616F">
                          <w:rPr>
                            <w:color w:val="002060"/>
                            <w:sz w:val="14"/>
                            <w:szCs w:val="12"/>
                            <w:lang w:val="Turkish"/>
                          </w:rPr>
                          <w:t xml:space="preserve">Avrupa Birliği tarafından ortaklaşa finanse edilmektedir. Bununla birlikte, ifade edilen görüş ve düşünceler yalnızca yazar(lar)a aittir ve Avrupa Birliği veya Avrupa Eğitim ve Kültür Yürütme Ajansı'nın (EACEA) görüşlerini yansıtmayabilir. Bunlardan ne Avrupa Birliği ne de izin veren makam sorumlu tutulamaz.</w:t>
                        </w:r>
                        <w:proofErr w:type="gramStart"/>
                        <w:proofErr w:type="gramEnd"/>
                      </w:p>
                      <w:p w:rsidRPr="0029616F" w:rsidR="00AC7B17" w:rsidP="00AC7B17" w:rsidRDefault="00AC7B17" w14:paraId="1613242A" w14:textId="77777777">
                        <w:pPr>
                          <w:jc w:val="both"/>
                          <w:rPr>
                            <w:lang w:val="en-US"/>
                          </w:rPr>
                        </w:pPr>
                      </w:p>
                    </w:txbxContent>
                  </v:textbox>
                  <w10:wrap anchorx="margin"/>
                </v:shape>
              </w:pict>
            </mc:Fallback>
          </mc:AlternateContent>
        </w:r>
      </w:p>
    </w:sdtContent>
  </w:sdt>
  <w:p w14:paraId="28483DD6" w14:textId="3623BA80" w:rsidR="00F45C3A" w:rsidRDefault="00F45C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50224"/>
      <w:docPartObj>
        <w:docPartGallery w:val="Page Numbers (Bottom of Page)"/>
        <w:docPartUnique/>
      </w:docPartObj>
    </w:sdtPr>
    <w:sdtContent>
      <w:p w14:paraId="195FF99A" w14:textId="5B1B2E2E" w:rsidR="00AC7B17" w:rsidRDefault="00AC7B17">
        <w:pPr>
          <w:pStyle w:val="AltBilgi"/>
          <w:jc w:val="right"/>
        </w:pPr>
        <w:r>
          <w:fldChar w:fldCharType="begin"/>
        </w:r>
        <w:r>
          <w:instrText>PAGE   \* MERGEFORMAT</w:instrText>
        </w:r>
        <w:r>
          <w:fldChar w:fldCharType="separate"/>
        </w:r>
        <w:r w:rsidRPr="00AC7B17">
          <w:rPr>
            <w:noProof/>
          </w:rPr>
          <w:t>4</w:t>
        </w:r>
        <w:r>
          <w:fldChar w:fldCharType="end"/>
        </w:r>
      </w:p>
    </w:sdtContent>
  </w:sdt>
  <w:p w14:paraId="11F742B8" w14:textId="35555BFB" w:rsidR="00AC7B17" w:rsidRDefault="00AC7B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B862" w14:textId="77777777" w:rsidR="00074FC7" w:rsidRDefault="00074FC7" w:rsidP="0029616F">
      <w:pPr>
        <w:spacing w:after="0" w:line="240" w:lineRule="auto"/>
      </w:pPr>
      <w:r>
        <w:separator/>
      </w:r>
    </w:p>
  </w:footnote>
  <w:footnote w:type="continuationSeparator" w:id="0">
    <w:p w14:paraId="3EB0F9A4" w14:textId="77777777" w:rsidR="00074FC7" w:rsidRDefault="00074FC7" w:rsidP="0029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3628" w14:textId="1B8B1496" w:rsidR="00AC7B17" w:rsidRDefault="00AC7B17">
    <w:pPr>
      <w:pStyle w:val="stBilgi"/>
    </w:pPr>
    <w:r w:rsidRPr="0029616F">
      <w:rPr>
        <w:noProof/>
        <w:lang w:eastAsia="de-AT"/>
      </w:rPr>
      <mc:AlternateContent>
        <mc:Choice Requires="wps">
          <w:drawing>
            <wp:anchor distT="45720" distB="45720" distL="114300" distR="114300" simplePos="0" relativeHeight="251663360" behindDoc="0" locked="0" layoutInCell="1" allowOverlap="1" wp14:anchorId="0286E2AF" wp14:editId="406045AC">
              <wp:simplePos x="0" y="0"/>
              <wp:positionH relativeFrom="margin">
                <wp:posOffset>2286000</wp:posOffset>
              </wp:positionH>
              <wp:positionV relativeFrom="paragraph">
                <wp:posOffset>-42545</wp:posOffset>
              </wp:positionV>
              <wp:extent cx="3131388" cy="457200"/>
              <wp:effectExtent l="0" t="0" r="0" b="0"/>
              <wp:wrapNone/>
              <wp:docPr id="1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388" cy="457200"/>
                      </a:xfrm>
                      <a:prstGeom prst="rect">
                        <a:avLst/>
                      </a:prstGeom>
                      <a:noFill/>
                      <a:ln w="9525">
                        <a:noFill/>
                        <a:miter lim="800000"/>
                        <a:headEnd/>
                        <a:tailEnd/>
                      </a:ln>
                    </wps:spPr>
                    <wps:txbx>
                      <w:txbxContent>
                        <w:p w14:paraId="10945273" w14:textId="77777777" w:rsidR="00AC7B17" w:rsidRPr="0029616F" w:rsidRDefault="00AC7B17" w:rsidP="00AC7B17">
                          <w:pPr>
                            <w:spacing w:after="0"/>
                            <w:rPr>
                              <w:b/>
                              <w:color w:val="002060"/>
                              <w:sz w:val="24"/>
                              <w:lang w:val="en-US"/>
                            </w:rPr>
                          </w:pPr>
                          <w:r w:rsidRPr="0029616F">
                            <w:rPr>
                              <w:b/>
                              <w:color w:val="002060"/>
                              <w:sz w:val="24"/>
                            </w:rPr>
                            <w:t>Kapsayıcı Eğitim için Öğretmen Akademisi</w:t>
                          </w:r>
                        </w:p>
                        <w:p w14:paraId="252BB98E" w14:textId="60874325" w:rsidR="00AC7B17" w:rsidRDefault="00AC7B17" w:rsidP="00AC7B17">
                          <w:pPr>
                            <w:spacing w:after="0"/>
                            <w:rPr>
                              <w:color w:val="002060"/>
                              <w:lang w:val="en-US"/>
                            </w:rPr>
                          </w:pPr>
                          <w:r w:rsidRPr="0029616F">
                            <w:rPr>
                              <w:color w:val="002060"/>
                            </w:rPr>
                            <w:t>Proje No: 101056515</w:t>
                          </w:r>
                        </w:p>
                        <w:p w14:paraId="4027D827" w14:textId="5C475E33" w:rsidR="00AC7B17" w:rsidRDefault="00AC7B17" w:rsidP="00AC7B17">
                          <w:pPr>
                            <w:spacing w:after="0"/>
                            <w:rPr>
                              <w:color w:val="002060"/>
                              <w:lang w:val="en-US"/>
                            </w:rPr>
                          </w:pPr>
                        </w:p>
                        <w:p w14:paraId="38F5B17B" w14:textId="13D18BEA" w:rsidR="00AC7B17" w:rsidRDefault="00AC7B17" w:rsidP="00AC7B17">
                          <w:pPr>
                            <w:spacing w:after="0"/>
                            <w:rPr>
                              <w:color w:val="002060"/>
                              <w:lang w:val="en-US"/>
                            </w:rPr>
                          </w:pPr>
                        </w:p>
                        <w:p w14:paraId="68F13ADD" w14:textId="429FFFEF" w:rsidR="00AC7B17" w:rsidRDefault="00AC7B17" w:rsidP="00AC7B17">
                          <w:pPr>
                            <w:spacing w:after="0"/>
                            <w:rPr>
                              <w:color w:val="002060"/>
                              <w:lang w:val="en-US"/>
                            </w:rPr>
                          </w:pPr>
                        </w:p>
                        <w:p w14:paraId="0F2A42BA" w14:textId="590BE183" w:rsidR="00AC7B17" w:rsidRDefault="00AC7B17" w:rsidP="00AC7B17">
                          <w:pPr>
                            <w:spacing w:after="0"/>
                            <w:rPr>
                              <w:color w:val="002060"/>
                              <w:lang w:val="en-US"/>
                            </w:rPr>
                          </w:pPr>
                        </w:p>
                        <w:p w14:paraId="37D733B6" w14:textId="37B0050C" w:rsidR="00AC7B17" w:rsidRDefault="00AC7B17" w:rsidP="00AC7B17">
                          <w:pPr>
                            <w:spacing w:after="0"/>
                            <w:rPr>
                              <w:color w:val="002060"/>
                              <w:lang w:val="en-US"/>
                            </w:rPr>
                          </w:pPr>
                        </w:p>
                        <w:p w14:paraId="76BE7E63" w14:textId="77777777" w:rsidR="00AC7B17" w:rsidRPr="0029616F" w:rsidRDefault="00AC7B17" w:rsidP="00AC7B17">
                          <w:pPr>
                            <w:spacing w:after="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86E2AF">
              <v:stroke joinstyle="miter"/>
              <v:path gradientshapeok="t" o:connecttype="rect"/>
            </v:shapetype>
            <v:shape id="Πλαίσιο κειμένου 2" style="position:absolute;margin-left:180pt;margin-top:-3.35pt;width:246.5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HCLwIAAAoEAAAOAAAAZHJzL2Uyb0RvYy54bWysU0uOEzEQ3SNxB8t70klIINNKZzTMMAhp&#10;+EgDB3Dc7rSF7TK2k+6wRdyDCyDEggU/zQ16rkTZnclEsEMkklXucr2q9/w8P261IhvhvART0NFg&#10;SIkwHEppVgV9/er83owSH5gpmQIjCroVnh4v7t6ZNzYXY6hBlcIRBDE+b2xB6xBsnmWe10IzPwAr&#10;DCYrcJoF3LpVVjrWILpW2Xg4fJA14ErrgAvv8etZn6SLhF9VgocXVeVFIKqgOFtIq0vrMq7ZYs7y&#10;lWO2lnw3BvuHKTSTBpvuoc5YYGTt5F9QWnIHHqow4KAzqCrJReKAbEbDP9hc1syKxAXF8XYvk/9/&#10;sPz55qUjssS7w5syTOMddR+7H92X7vP1++5bd0W6791XDH52n7pf3dX1BzKOqjXW51h8abE8tI+g&#10;RYSkgLcXwN94YuC0ZmYlTpyDphasxKlHsTI7KO1xfARZNs+gxO5sHSABtZXTUVIUiSA63t52f2Oi&#10;DYTjx/sj/M9wco65yfQhWiK1YPlNtXU+PBGgSQwK6tARCZ1tLnyI07D85khsZuBcKpVcoQxpCno0&#10;HU9TwUFGy4CmVVIXdDaMv95GkeRjU6biwKTqY2ygzI51JNpTDu2yxYNRiiWUW+TvoDcnPiYManDv&#10;KGnQmAX1b9fMCUrUU4MaHo0mk+jktEmUKXGHmeVhhhmOUAUNlPThaUju77meoNaVTDLcTrKbFQ2X&#10;1Nk9jujow306dfuEF78BAAD//wMAUEsDBBQABgAIAAAAIQDEzsuK3wAAAAkBAAAPAAAAZHJzL2Rv&#10;d25yZXYueG1sTI/NTsMwEITvSH0Ha5G4tXYJCSVkUyEQ16KWH4mbG2+TqPE6it0mvD3uCY6jGc18&#10;U6wn24kzDb51jLBcKBDElTMt1wgf76/zFQgfNBvdOSaEH/KwLmdXhc6NG3lL512oRSxhn2uEJoQ+&#10;l9JXDVntF64njt7BDVaHKIdamkGPsdx28lapTFrdclxodE/PDVXH3ckifG4O31936q1+sWk/uklJ&#10;tg8S8eZ6enoEEWgKf2G44Ed0KCPT3p3YeNEhJJmKXwLCPLsHEQOrNFmC2CNkaQKyLOT/B+UvAAAA&#10;//8DAFBLAQItABQABgAIAAAAIQC2gziS/gAAAOEBAAATAAAAAAAAAAAAAAAAAAAAAABbQ29udGVu&#10;dF9UeXBlc10ueG1sUEsBAi0AFAAGAAgAAAAhADj9If/WAAAAlAEAAAsAAAAAAAAAAAAAAAAALwEA&#10;AF9yZWxzLy5yZWxzUEsBAi0AFAAGAAgAAAAhAEPpYcIvAgAACgQAAA4AAAAAAAAAAAAAAAAALgIA&#10;AGRycy9lMm9Eb2MueG1sUEsBAi0AFAAGAAgAAAAhAMTOy4rfAAAACQEAAA8AAAAAAAAAAAAAAAAA&#10;iQQAAGRycy9kb3ducmV2LnhtbFBLBQYAAAAABAAEAPMAAACVBQAAAAA=&#10;">
              <v:textbox>
                <w:txbxContent>
                  <w:p w:rsidRPr="0029616F" w:rsidR="00AC7B17" w:rsidP="00AC7B17" w:rsidRDefault="00AC7B17" w14:paraId="10945273" w14:textId="77777777">
                    <w:pPr>
                      <w:spacing w:after="0"/>
                      <w:rPr>
                        <w:b/>
                        <w:color w:val="002060"/>
                        <w:sz w:val="24"/>
                        <w:lang w:val="en-US"/>
                      </w:rPr>
                    </w:pPr>
                    <w:r w:rsidRPr="0029616F">
                      <w:rPr>
                        <w:b/>
                        <w:color w:val="002060"/>
                        <w:sz w:val="24"/>
                        <w:lang w:val="Turkish"/>
                      </w:rPr>
                      <w:t>Kapsayıcı Eğitim için Öğretmen Akademisi</w:t>
                    </w:r>
                  </w:p>
                  <w:p w:rsidR="00AC7B17" w:rsidP="00AC7B17" w:rsidRDefault="00AC7B17" w14:paraId="252BB98E" w14:textId="60874325">
                    <w:pPr>
                      <w:spacing w:after="0"/>
                      <w:rPr>
                        <w:color w:val="002060"/>
                        <w:lang w:val="en-US"/>
                      </w:rPr>
                    </w:pPr>
                    <w:r w:rsidRPr="0029616F">
                      <w:rPr>
                        <w:color w:val="002060"/>
                        <w:lang w:val="Turkish"/>
                      </w:rPr>
                      <w:t>Proje No: 101056515</w:t>
                    </w:r>
                  </w:p>
                  <w:p w:rsidR="00AC7B17" w:rsidP="00AC7B17" w:rsidRDefault="00AC7B17" w14:paraId="4027D827" w14:textId="5C475E33">
                    <w:pPr>
                      <w:spacing w:after="0"/>
                      <w:rPr>
                        <w:color w:val="002060"/>
                        <w:lang w:val="en-US"/>
                      </w:rPr>
                    </w:pPr>
                  </w:p>
                  <w:p w:rsidR="00AC7B17" w:rsidP="00AC7B17" w:rsidRDefault="00AC7B17" w14:paraId="38F5B17B" w14:textId="13D18BEA">
                    <w:pPr>
                      <w:spacing w:after="0"/>
                      <w:rPr>
                        <w:color w:val="002060"/>
                        <w:lang w:val="en-US"/>
                      </w:rPr>
                    </w:pPr>
                  </w:p>
                  <w:p w:rsidR="00AC7B17" w:rsidP="00AC7B17" w:rsidRDefault="00AC7B17" w14:paraId="68F13ADD" w14:textId="429FFFEF">
                    <w:pPr>
                      <w:spacing w:after="0"/>
                      <w:rPr>
                        <w:color w:val="002060"/>
                        <w:lang w:val="en-US"/>
                      </w:rPr>
                    </w:pPr>
                  </w:p>
                  <w:p w:rsidR="00AC7B17" w:rsidP="00AC7B17" w:rsidRDefault="00AC7B17" w14:paraId="0F2A42BA" w14:textId="590BE183">
                    <w:pPr>
                      <w:spacing w:after="0"/>
                      <w:rPr>
                        <w:color w:val="002060"/>
                        <w:lang w:val="en-US"/>
                      </w:rPr>
                    </w:pPr>
                  </w:p>
                  <w:p w:rsidR="00AC7B17" w:rsidP="00AC7B17" w:rsidRDefault="00AC7B17" w14:paraId="37D733B6" w14:textId="37B0050C">
                    <w:pPr>
                      <w:spacing w:after="0"/>
                      <w:rPr>
                        <w:color w:val="002060"/>
                        <w:lang w:val="en-US"/>
                      </w:rPr>
                    </w:pPr>
                  </w:p>
                  <w:p w:rsidRPr="0029616F" w:rsidR="00AC7B17" w:rsidP="00AC7B17" w:rsidRDefault="00AC7B17" w14:paraId="76BE7E63" w14:textId="77777777">
                    <w:pPr>
                      <w:spacing w:after="0"/>
                      <w:rPr>
                        <w:color w:val="002060"/>
                        <w:lang w:val="en-US"/>
                      </w:rPr>
                    </w:pPr>
                  </w:p>
                </w:txbxContent>
              </v:textbox>
              <w10:wrap anchorx="margin"/>
            </v:shape>
          </w:pict>
        </mc:Fallback>
      </mc:AlternateContent>
    </w:r>
    <w:r w:rsidRPr="0029616F">
      <w:rPr>
        <w:noProof/>
        <w:lang w:eastAsia="de-AT"/>
      </w:rPr>
      <mc:AlternateContent>
        <mc:Choice Requires="wps">
          <w:drawing>
            <wp:anchor distT="0" distB="0" distL="114300" distR="114300" simplePos="0" relativeHeight="251661312" behindDoc="0" locked="0" layoutInCell="1" allowOverlap="1" wp14:anchorId="779BA124" wp14:editId="0E80EBAA">
              <wp:simplePos x="0" y="0"/>
              <wp:positionH relativeFrom="column">
                <wp:posOffset>2009775</wp:posOffset>
              </wp:positionH>
              <wp:positionV relativeFrom="paragraph">
                <wp:posOffset>-50165</wp:posOffset>
              </wp:positionV>
              <wp:extent cx="0" cy="434340"/>
              <wp:effectExtent l="0" t="0" r="19050" b="2286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0" cy="43434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Ευθεία γραμμή σύνδεσης 2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xzBQIAACcEAAAOAAAAZHJzL2Uyb0RvYy54bWysU8tuEzEU3SPxD5b3ZCYBFTTKpItWZYMg&#10;4vEBjsdOLPkl22SSJVQsWfIboKpUsIBf8PxSrz2TaVUQEgiN5PHjnnPPPb6eH++URFvmvDC6xtNJ&#10;iRHT1DRCr2v85vXZgycY+UB0Q6TRrMZ75vHx4v69eWsrNjMbIxvmEJBoX7W2xpsQbFUUnm6YIn5i&#10;LNNwyI1TJMDSrYvGkRbYlSxmZXlUtMY11hnKvIfd0/4QLzI/54yGF5x7FpCsMWgLeXR5XKWxWMxJ&#10;tXbEbgQdZJB/UKGI0JB0pDolgaC3TvxCpQR1xhseJtSownAuKMs1QDXT8k41rzbEslwLmOPtaJP/&#10;f7T0+XbpkGhqPJtipImCO4qfug/xe7yKX+IFipfdu3gRf8D3GXXn3cf4M36NV915/Na9RwACB1vr&#10;KyA60Us3rLxdumTHjjuV/lAo2mXX96PrbBcQ7Tcp7D56CF++kOIGZ50PT5lRKE1qLIVOfpCKbJ/5&#10;ALkg9BCStqVGLXTh7HFZ5jBvpGjOhJTp0Lv16kQ6tCWpF8pZeXTIdisMCKUG3lRSX0Sehb1kfYKX&#10;jINdIHvaZ0iNykZaQinTIZuSmSA6wThIGIGDtD8Bh/gEZbmJ/wY8InJmo8MIVkIb9zvZYXeQzPv4&#10;gwN93cmClWn2+XqzNdCN2fzh5aR2v73O8Jv3vbgGAAD//wMAUEsDBBQABgAIAAAAIQAcIZ//2wAA&#10;AAkBAAAPAAAAZHJzL2Rvd25yZXYueG1sTI/LTsMwEEX3SPyDNUhsUGsX1BTSTKqCyAcQ+IBJ7DyK&#10;H5HttoGvx4gFXc7M0Z1zi91sNDspH0ZnEVZLAUzZ1snR9ggf79XiEViIZCVpZxXClwqwK6+vCsql&#10;O9s3dapjz1KIDTkhDDFOOeehHZShsHSTsunWOW8optH3XHo6p3Cj+b0QGTc02vRhoEm9DKr9rI8G&#10;oTNUeW2oq77NXtR31BxenzeItzfzfgssqjn+w/Crn9ShTE6NO1oZmEZ4WGXrhCIsNk/AEvC3aBAy&#10;sQZeFvyyQfkDAAD//wMAUEsBAi0AFAAGAAgAAAAhALaDOJL+AAAA4QEAABMAAAAAAAAAAAAAAAAA&#10;AAAAAFtDb250ZW50X1R5cGVzXS54bWxQSwECLQAUAAYACAAAACEAOP0h/9YAAACUAQAACwAAAAAA&#10;AAAAAAAAAAAvAQAAX3JlbHMvLnJlbHNQSwECLQAUAAYACAAAACEA4EBscwUCAAAnBAAADgAAAAAA&#10;AAAAAAAAAAAuAgAAZHJzL2Uyb0RvYy54bWxQSwECLQAUAAYACAAAACEAHCGf/9sAAAAJAQAADwAA&#10;AAAAAAAAAAAAAABfBAAAZHJzL2Rvd25yZXYueG1sUEsFBgAAAAAEAAQA8wAAAGcFAAAAAA==&#10;" from="158.25pt,-3.95pt" to="158.25pt,30.25pt" w14:anchorId="61BE81D8">
              <v:stroke joinstyle="miter"/>
            </v:line>
          </w:pict>
        </mc:Fallback>
      </mc:AlternateContent>
    </w:r>
    <w:r w:rsidRPr="0029616F">
      <w:rPr>
        <w:noProof/>
        <w:lang w:eastAsia="de-AT"/>
      </w:rPr>
      <w:drawing>
        <wp:anchor distT="0" distB="0" distL="114300" distR="114300" simplePos="0" relativeHeight="251659264" behindDoc="1" locked="0" layoutInCell="1" allowOverlap="1" wp14:anchorId="0754C49D" wp14:editId="2238F1C2">
          <wp:simplePos x="0" y="0"/>
          <wp:positionH relativeFrom="margin">
            <wp:posOffset>0</wp:posOffset>
          </wp:positionH>
          <wp:positionV relativeFrom="paragraph">
            <wp:posOffset>-12065</wp:posOffset>
          </wp:positionV>
          <wp:extent cx="1724660" cy="411480"/>
          <wp:effectExtent l="0" t="0" r="8890" b="762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TOR LOGO NEWSLETTER.png"/>
                  <pic:cNvPicPr/>
                </pic:nvPicPr>
                <pic:blipFill rotWithShape="1">
                  <a:blip r:embed="rId1">
                    <a:extLst>
                      <a:ext uri="{28A0092B-C50C-407E-A947-70E740481C1C}">
                        <a14:useLocalDpi xmlns:a14="http://schemas.microsoft.com/office/drawing/2010/main" val="0"/>
                      </a:ext>
                    </a:extLst>
                  </a:blip>
                  <a:srcRect b="15660"/>
                  <a:stretch/>
                </pic:blipFill>
                <pic:spPr bwMode="auto">
                  <a:xfrm>
                    <a:off x="0" y="0"/>
                    <a:ext cx="1724660"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AB621" w14:textId="0BF57E13" w:rsidR="00AC7B17" w:rsidRDefault="00AC7B17">
    <w:pPr>
      <w:pStyle w:val="stBilgi"/>
    </w:pPr>
  </w:p>
  <w:p w14:paraId="33B99AFD" w14:textId="51A10274" w:rsidR="00AC7B17" w:rsidRDefault="00AC7B17">
    <w:pPr>
      <w:pStyle w:val="stBilgi"/>
    </w:pPr>
  </w:p>
  <w:p w14:paraId="28E80C03" w14:textId="77777777" w:rsidR="00AC7B17" w:rsidRDefault="00AC7B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327"/>
    <w:multiLevelType w:val="hybridMultilevel"/>
    <w:tmpl w:val="3366473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750D3B"/>
    <w:multiLevelType w:val="hybridMultilevel"/>
    <w:tmpl w:val="91E2EDE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D20FC"/>
    <w:multiLevelType w:val="hybridMultilevel"/>
    <w:tmpl w:val="385EE85E"/>
    <w:lvl w:ilvl="0" w:tplc="411C34C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73309D"/>
    <w:multiLevelType w:val="hybridMultilevel"/>
    <w:tmpl w:val="80F83A4E"/>
    <w:lvl w:ilvl="0" w:tplc="8698F256">
      <w:start w:val="1"/>
      <w:numFmt w:val="decimal"/>
      <w:pStyle w:val="Balk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4E34DC"/>
    <w:multiLevelType w:val="hybridMultilevel"/>
    <w:tmpl w:val="3802F3B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6C4C2E"/>
    <w:multiLevelType w:val="hybridMultilevel"/>
    <w:tmpl w:val="862E1E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D86B3E"/>
    <w:multiLevelType w:val="hybridMultilevel"/>
    <w:tmpl w:val="71F05DFA"/>
    <w:lvl w:ilvl="0" w:tplc="AB2E6E2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AE0C3A"/>
    <w:multiLevelType w:val="hybridMultilevel"/>
    <w:tmpl w:val="2CB452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DE50AD2"/>
    <w:multiLevelType w:val="hybridMultilevel"/>
    <w:tmpl w:val="18CEE89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14282401">
    <w:abstractNumId w:val="5"/>
  </w:num>
  <w:num w:numId="2" w16cid:durableId="1396078134">
    <w:abstractNumId w:val="0"/>
  </w:num>
  <w:num w:numId="3" w16cid:durableId="1014571431">
    <w:abstractNumId w:val="8"/>
  </w:num>
  <w:num w:numId="4" w16cid:durableId="1461151560">
    <w:abstractNumId w:val="4"/>
  </w:num>
  <w:num w:numId="5" w16cid:durableId="1189876384">
    <w:abstractNumId w:val="1"/>
  </w:num>
  <w:num w:numId="6" w16cid:durableId="1590574308">
    <w:abstractNumId w:val="3"/>
  </w:num>
  <w:num w:numId="7" w16cid:durableId="420612052">
    <w:abstractNumId w:val="6"/>
  </w:num>
  <w:num w:numId="8" w16cid:durableId="409693859">
    <w:abstractNumId w:val="2"/>
  </w:num>
  <w:num w:numId="9" w16cid:durableId="275059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6F"/>
    <w:rsid w:val="000147FC"/>
    <w:rsid w:val="0002789F"/>
    <w:rsid w:val="00032305"/>
    <w:rsid w:val="00041F64"/>
    <w:rsid w:val="00041FB0"/>
    <w:rsid w:val="00052331"/>
    <w:rsid w:val="000545C2"/>
    <w:rsid w:val="00074FC7"/>
    <w:rsid w:val="000B1D1D"/>
    <w:rsid w:val="000D7702"/>
    <w:rsid w:val="000E5C4C"/>
    <w:rsid w:val="00115F02"/>
    <w:rsid w:val="001523A6"/>
    <w:rsid w:val="00153518"/>
    <w:rsid w:val="0017281D"/>
    <w:rsid w:val="00180035"/>
    <w:rsid w:val="00192499"/>
    <w:rsid w:val="001F03D8"/>
    <w:rsid w:val="00237A57"/>
    <w:rsid w:val="00242A72"/>
    <w:rsid w:val="002469C9"/>
    <w:rsid w:val="0029135A"/>
    <w:rsid w:val="0029616F"/>
    <w:rsid w:val="002B68FB"/>
    <w:rsid w:val="002C2711"/>
    <w:rsid w:val="002F35D9"/>
    <w:rsid w:val="003166B2"/>
    <w:rsid w:val="0032521B"/>
    <w:rsid w:val="003419D4"/>
    <w:rsid w:val="003B6985"/>
    <w:rsid w:val="003E074A"/>
    <w:rsid w:val="003E7F7F"/>
    <w:rsid w:val="003F5A87"/>
    <w:rsid w:val="00406E94"/>
    <w:rsid w:val="00412725"/>
    <w:rsid w:val="00425513"/>
    <w:rsid w:val="00441F5D"/>
    <w:rsid w:val="00471AEE"/>
    <w:rsid w:val="004724AC"/>
    <w:rsid w:val="00473FE4"/>
    <w:rsid w:val="0049157E"/>
    <w:rsid w:val="004B4648"/>
    <w:rsid w:val="0050427C"/>
    <w:rsid w:val="0054064D"/>
    <w:rsid w:val="00540FDA"/>
    <w:rsid w:val="00581DD0"/>
    <w:rsid w:val="005B63FD"/>
    <w:rsid w:val="005C3EBD"/>
    <w:rsid w:val="005F1490"/>
    <w:rsid w:val="00642681"/>
    <w:rsid w:val="006574E6"/>
    <w:rsid w:val="006B601B"/>
    <w:rsid w:val="006B67D6"/>
    <w:rsid w:val="006C1F19"/>
    <w:rsid w:val="006F7012"/>
    <w:rsid w:val="007108D8"/>
    <w:rsid w:val="00710B6B"/>
    <w:rsid w:val="0071522A"/>
    <w:rsid w:val="0073459E"/>
    <w:rsid w:val="0074437A"/>
    <w:rsid w:val="00816D0A"/>
    <w:rsid w:val="008637CC"/>
    <w:rsid w:val="008905FC"/>
    <w:rsid w:val="008941FB"/>
    <w:rsid w:val="008A02A6"/>
    <w:rsid w:val="00910192"/>
    <w:rsid w:val="00914986"/>
    <w:rsid w:val="009513D4"/>
    <w:rsid w:val="009D0896"/>
    <w:rsid w:val="00A22BD4"/>
    <w:rsid w:val="00A35AF0"/>
    <w:rsid w:val="00A66329"/>
    <w:rsid w:val="00AB11FC"/>
    <w:rsid w:val="00AC7B17"/>
    <w:rsid w:val="00B13EF6"/>
    <w:rsid w:val="00B202C8"/>
    <w:rsid w:val="00B2075A"/>
    <w:rsid w:val="00B250B4"/>
    <w:rsid w:val="00B628D0"/>
    <w:rsid w:val="00B770E8"/>
    <w:rsid w:val="00BC2696"/>
    <w:rsid w:val="00BE4471"/>
    <w:rsid w:val="00C02C84"/>
    <w:rsid w:val="00C22C98"/>
    <w:rsid w:val="00C374BD"/>
    <w:rsid w:val="00C54686"/>
    <w:rsid w:val="00C84932"/>
    <w:rsid w:val="00CC094B"/>
    <w:rsid w:val="00CD04B7"/>
    <w:rsid w:val="00CD3649"/>
    <w:rsid w:val="00D05BC0"/>
    <w:rsid w:val="00D13F1F"/>
    <w:rsid w:val="00D44E17"/>
    <w:rsid w:val="00D47F8C"/>
    <w:rsid w:val="00D50BF3"/>
    <w:rsid w:val="00D51FEA"/>
    <w:rsid w:val="00D52DB7"/>
    <w:rsid w:val="00D62F0B"/>
    <w:rsid w:val="00D71BF8"/>
    <w:rsid w:val="00D90F90"/>
    <w:rsid w:val="00DC33A9"/>
    <w:rsid w:val="00DD2C79"/>
    <w:rsid w:val="00DD42F4"/>
    <w:rsid w:val="00DE0794"/>
    <w:rsid w:val="00E022C0"/>
    <w:rsid w:val="00E15D5A"/>
    <w:rsid w:val="00E20E1A"/>
    <w:rsid w:val="00E33AF9"/>
    <w:rsid w:val="00E358D7"/>
    <w:rsid w:val="00E45123"/>
    <w:rsid w:val="00E57CEA"/>
    <w:rsid w:val="00E720C3"/>
    <w:rsid w:val="00EC6BF9"/>
    <w:rsid w:val="00EE75BB"/>
    <w:rsid w:val="00EF259F"/>
    <w:rsid w:val="00EF27A7"/>
    <w:rsid w:val="00F066D1"/>
    <w:rsid w:val="00F07043"/>
    <w:rsid w:val="00F45C3A"/>
    <w:rsid w:val="00F559A0"/>
    <w:rsid w:val="00F57D7D"/>
    <w:rsid w:val="00F640AD"/>
    <w:rsid w:val="00F8712C"/>
    <w:rsid w:val="00F90325"/>
    <w:rsid w:val="00FB043D"/>
    <w:rsid w:val="00FF10D4"/>
    <w:rsid w:val="00FF7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D8DC"/>
  <w15:chartTrackingRefBased/>
  <w15:docId w15:val="{0DE3EAFF-2E51-4E7A-AD3E-A909C643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89F"/>
    <w:rPr>
      <w:lang w:val="en-GB"/>
    </w:rPr>
  </w:style>
  <w:style w:type="paragraph" w:styleId="Balk1">
    <w:name w:val="heading 1"/>
    <w:basedOn w:val="Normal"/>
    <w:next w:val="Normal"/>
    <w:link w:val="Balk1Char"/>
    <w:uiPriority w:val="9"/>
    <w:qFormat/>
    <w:rsid w:val="002C2711"/>
    <w:pPr>
      <w:keepNext/>
      <w:keepLines/>
      <w:numPr>
        <w:numId w:val="6"/>
      </w:numPr>
      <w:spacing w:before="240"/>
      <w:outlineLvl w:val="0"/>
    </w:pPr>
    <w:rPr>
      <w:rFonts w:asciiTheme="majorHAnsi" w:eastAsiaTheme="majorEastAsia" w:hAnsiTheme="majorHAnsi" w:cstheme="majorBidi"/>
      <w:b/>
      <w:sz w:val="24"/>
      <w:szCs w:val="32"/>
    </w:rPr>
  </w:style>
  <w:style w:type="paragraph" w:styleId="Balk2">
    <w:name w:val="heading 2"/>
    <w:basedOn w:val="Normal"/>
    <w:next w:val="Normal"/>
    <w:link w:val="Balk2Char"/>
    <w:uiPriority w:val="9"/>
    <w:unhideWhenUsed/>
    <w:qFormat/>
    <w:rsid w:val="002C27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616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29616F"/>
  </w:style>
  <w:style w:type="paragraph" w:styleId="AltBilgi">
    <w:name w:val="footer"/>
    <w:basedOn w:val="Normal"/>
    <w:link w:val="AltBilgiChar"/>
    <w:uiPriority w:val="99"/>
    <w:unhideWhenUsed/>
    <w:rsid w:val="0029616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29616F"/>
  </w:style>
  <w:style w:type="character" w:styleId="Kpr">
    <w:name w:val="Hyperlink"/>
    <w:basedOn w:val="VarsaylanParagrafYazTipi"/>
    <w:uiPriority w:val="99"/>
    <w:unhideWhenUsed/>
    <w:rsid w:val="008905FC"/>
    <w:rPr>
      <w:color w:val="0563C1" w:themeColor="hyperlink"/>
      <w:u w:val="single"/>
    </w:rPr>
  </w:style>
  <w:style w:type="paragraph" w:styleId="ListeParagraf">
    <w:name w:val="List Paragraph"/>
    <w:basedOn w:val="Normal"/>
    <w:uiPriority w:val="34"/>
    <w:qFormat/>
    <w:rsid w:val="008905FC"/>
    <w:pPr>
      <w:ind w:left="720"/>
      <w:contextualSpacing/>
    </w:pPr>
  </w:style>
  <w:style w:type="paragraph" w:styleId="DipnotMetni">
    <w:name w:val="footnote text"/>
    <w:basedOn w:val="Normal"/>
    <w:link w:val="DipnotMetniChar"/>
    <w:uiPriority w:val="99"/>
    <w:unhideWhenUsed/>
    <w:rsid w:val="008905FC"/>
    <w:pPr>
      <w:spacing w:after="0" w:line="240" w:lineRule="auto"/>
    </w:pPr>
    <w:rPr>
      <w:rFonts w:ascii="Calibri" w:eastAsia="Calibri" w:hAnsi="Calibri" w:cs="Calibri"/>
      <w:sz w:val="20"/>
      <w:szCs w:val="20"/>
      <w:lang w:val="de-AT"/>
    </w:rPr>
  </w:style>
  <w:style w:type="character" w:customStyle="1" w:styleId="DipnotMetniChar">
    <w:name w:val="Dipnot Metni Char"/>
    <w:basedOn w:val="VarsaylanParagrafYazTipi"/>
    <w:link w:val="DipnotMetni"/>
    <w:uiPriority w:val="99"/>
    <w:rsid w:val="008905FC"/>
    <w:rPr>
      <w:rFonts w:ascii="Calibri" w:eastAsia="Calibri" w:hAnsi="Calibri" w:cs="Calibri"/>
      <w:sz w:val="20"/>
      <w:szCs w:val="20"/>
      <w:lang w:val="de-AT"/>
    </w:rPr>
  </w:style>
  <w:style w:type="character" w:styleId="DipnotBavurusu">
    <w:name w:val="footnote reference"/>
    <w:basedOn w:val="VarsaylanParagrafYazTipi"/>
    <w:uiPriority w:val="99"/>
    <w:semiHidden/>
    <w:unhideWhenUsed/>
    <w:rsid w:val="008905FC"/>
    <w:rPr>
      <w:vertAlign w:val="superscript"/>
    </w:rPr>
  </w:style>
  <w:style w:type="character" w:styleId="AklamaBavurusu">
    <w:name w:val="annotation reference"/>
    <w:basedOn w:val="VarsaylanParagrafYazTipi"/>
    <w:uiPriority w:val="99"/>
    <w:semiHidden/>
    <w:unhideWhenUsed/>
    <w:rsid w:val="00910192"/>
    <w:rPr>
      <w:sz w:val="16"/>
      <w:szCs w:val="16"/>
    </w:rPr>
  </w:style>
  <w:style w:type="paragraph" w:styleId="AklamaMetni">
    <w:name w:val="annotation text"/>
    <w:basedOn w:val="Normal"/>
    <w:link w:val="AklamaMetniChar"/>
    <w:uiPriority w:val="99"/>
    <w:semiHidden/>
    <w:unhideWhenUsed/>
    <w:rsid w:val="009101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0192"/>
    <w:rPr>
      <w:sz w:val="20"/>
      <w:szCs w:val="20"/>
      <w:lang w:val="en-GB"/>
    </w:rPr>
  </w:style>
  <w:style w:type="paragraph" w:styleId="AklamaKonusu">
    <w:name w:val="annotation subject"/>
    <w:basedOn w:val="AklamaMetni"/>
    <w:next w:val="AklamaMetni"/>
    <w:link w:val="AklamaKonusuChar"/>
    <w:uiPriority w:val="99"/>
    <w:semiHidden/>
    <w:unhideWhenUsed/>
    <w:rsid w:val="00910192"/>
    <w:rPr>
      <w:b/>
      <w:bCs/>
    </w:rPr>
  </w:style>
  <w:style w:type="character" w:customStyle="1" w:styleId="AklamaKonusuChar">
    <w:name w:val="Açıklama Konusu Char"/>
    <w:basedOn w:val="AklamaMetniChar"/>
    <w:link w:val="AklamaKonusu"/>
    <w:uiPriority w:val="99"/>
    <w:semiHidden/>
    <w:rsid w:val="00910192"/>
    <w:rPr>
      <w:b/>
      <w:bCs/>
      <w:sz w:val="20"/>
      <w:szCs w:val="20"/>
      <w:lang w:val="en-GB"/>
    </w:rPr>
  </w:style>
  <w:style w:type="paragraph" w:styleId="BalonMetni">
    <w:name w:val="Balloon Text"/>
    <w:basedOn w:val="Normal"/>
    <w:link w:val="BalonMetniChar"/>
    <w:uiPriority w:val="99"/>
    <w:semiHidden/>
    <w:unhideWhenUsed/>
    <w:rsid w:val="009101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0192"/>
    <w:rPr>
      <w:rFonts w:ascii="Segoe UI" w:hAnsi="Segoe UI" w:cs="Segoe UI"/>
      <w:sz w:val="18"/>
      <w:szCs w:val="18"/>
      <w:lang w:val="en-GB"/>
    </w:rPr>
  </w:style>
  <w:style w:type="character" w:customStyle="1" w:styleId="Balk1Char">
    <w:name w:val="Başlık 1 Char"/>
    <w:basedOn w:val="VarsaylanParagrafYazTipi"/>
    <w:link w:val="Balk1"/>
    <w:uiPriority w:val="9"/>
    <w:rsid w:val="002C2711"/>
    <w:rPr>
      <w:rFonts w:asciiTheme="majorHAnsi" w:eastAsiaTheme="majorEastAsia" w:hAnsiTheme="majorHAnsi" w:cstheme="majorBidi"/>
      <w:b/>
      <w:sz w:val="24"/>
      <w:szCs w:val="32"/>
      <w:lang w:val="en-GB"/>
    </w:rPr>
  </w:style>
  <w:style w:type="character" w:customStyle="1" w:styleId="Balk2Char">
    <w:name w:val="Başlık 2 Char"/>
    <w:basedOn w:val="VarsaylanParagrafYazTipi"/>
    <w:link w:val="Balk2"/>
    <w:uiPriority w:val="9"/>
    <w:rsid w:val="002C2711"/>
    <w:rPr>
      <w:rFonts w:asciiTheme="majorHAnsi" w:eastAsiaTheme="majorEastAsia" w:hAnsiTheme="majorHAnsi" w:cstheme="majorBidi"/>
      <w:color w:val="2E74B5" w:themeColor="accent1" w:themeShade="BF"/>
      <w:sz w:val="26"/>
      <w:szCs w:val="26"/>
      <w:lang w:val="en-GB"/>
    </w:rPr>
  </w:style>
  <w:style w:type="paragraph" w:styleId="TBal">
    <w:name w:val="TOC Heading"/>
    <w:basedOn w:val="Balk1"/>
    <w:next w:val="Normal"/>
    <w:uiPriority w:val="39"/>
    <w:unhideWhenUsed/>
    <w:qFormat/>
    <w:rsid w:val="002C2711"/>
    <w:pPr>
      <w:numPr>
        <w:numId w:val="0"/>
      </w:numPr>
      <w:spacing w:after="0"/>
      <w:outlineLvl w:val="9"/>
    </w:pPr>
    <w:rPr>
      <w:b w:val="0"/>
      <w:color w:val="2E74B5" w:themeColor="accent1" w:themeShade="BF"/>
      <w:sz w:val="32"/>
      <w:lang w:val="de-DE" w:eastAsia="de-DE"/>
    </w:rPr>
  </w:style>
  <w:style w:type="paragraph" w:styleId="T1">
    <w:name w:val="toc 1"/>
    <w:basedOn w:val="Normal"/>
    <w:next w:val="Normal"/>
    <w:autoRedefine/>
    <w:uiPriority w:val="39"/>
    <w:unhideWhenUsed/>
    <w:rsid w:val="002C2711"/>
    <w:pPr>
      <w:spacing w:after="100"/>
    </w:pPr>
  </w:style>
  <w:style w:type="paragraph" w:styleId="Altyaz">
    <w:name w:val="Subtitle"/>
    <w:basedOn w:val="Normal"/>
    <w:next w:val="Normal"/>
    <w:link w:val="AltyazChar"/>
    <w:uiPriority w:val="11"/>
    <w:qFormat/>
    <w:rsid w:val="00D51FEA"/>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D51FEA"/>
    <w:rPr>
      <w:rFonts w:eastAsiaTheme="minorEastAsia"/>
      <w:color w:val="5A5A5A" w:themeColor="text1" w:themeTint="A5"/>
      <w:spacing w:val="15"/>
      <w:lang w:val="en-GB"/>
    </w:rPr>
  </w:style>
  <w:style w:type="character" w:styleId="YerTutucuMetni">
    <w:name w:val="Placeholder Text"/>
    <w:basedOn w:val="VarsaylanParagrafYazTipi"/>
    <w:uiPriority w:val="99"/>
    <w:semiHidden/>
    <w:rsid w:val="006574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345B-3289-4BF0-8401-7CE41355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6778</Characters>
  <Application>Microsoft Office Word</Application>
  <DocSecurity>0</DocSecurity>
  <Lines>56</Lines>
  <Paragraphs>15</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SERGED ASSOCIATION Association</cp:lastModifiedBy>
  <cp:revision>1</cp:revision>
  <dcterms:created xsi:type="dcterms:W3CDTF">2024-09-04T13:04:00Z</dcterms:created>
  <dcterms:modified xsi:type="dcterms:W3CDTF">2025-04-06T17:49:00Z</dcterms:modified>
</cp:coreProperties>
</file>